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i w:val="1"/>
          <w:color w:val="4a86e8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4a86e8"/>
          <w:sz w:val="28"/>
          <w:szCs w:val="28"/>
          <w:rtl w:val="0"/>
        </w:rPr>
        <w:t xml:space="preserve">Останні зміни - 24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4a86e8"/>
          <w:sz w:val="28"/>
          <w:szCs w:val="28"/>
          <w:rtl w:val="0"/>
        </w:rPr>
        <w:t xml:space="preserve">.10.2024</w:t>
      </w:r>
    </w:p>
    <w:p w:rsidR="00000000" w:rsidDel="00000000" w:rsidP="00000000" w:rsidRDefault="00000000" w:rsidRPr="00000000" w14:paraId="00000002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i w:val="1"/>
          <w:color w:val="00b05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b050"/>
          <w:sz w:val="28"/>
          <w:szCs w:val="28"/>
          <w:rtl w:val="0"/>
        </w:rPr>
        <w:t xml:space="preserve">(зміни в розділ ІІ)</w:t>
      </w:r>
    </w:p>
    <w:p w:rsidR="00000000" w:rsidDel="00000000" w:rsidP="00000000" w:rsidRDefault="00000000" w:rsidRPr="00000000" w14:paraId="00000003">
      <w:pPr>
        <w:shd w:fill="ffffff" w:val="clear"/>
        <w:spacing w:after="280" w:before="28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*Зміни до Особливостей здійснення публічних закупівель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Кабміну від 12.10.2022 № 1178,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відповідно до постанови КМУ від 05.07.2024 № 782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i w:val="1"/>
          <w:color w:val="4a86e8"/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i w:val="1"/>
          <w:color w:val="4a86e8"/>
          <w:sz w:val="28"/>
          <w:szCs w:val="28"/>
          <w:highlight w:val="yellow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4a86e8"/>
          <w:sz w:val="28"/>
          <w:szCs w:val="28"/>
          <w:highlight w:val="yellow"/>
          <w:rtl w:val="0"/>
        </w:rPr>
        <w:t xml:space="preserve">Приклад Додатка 4 до ТД (варіант 2)</w:t>
      </w:r>
    </w:p>
    <w:p w:rsidR="00000000" w:rsidDel="00000000" w:rsidP="00000000" w:rsidRDefault="00000000" w:rsidRPr="00000000" w14:paraId="00000006">
      <w:pPr>
        <w:spacing w:after="0" w:line="240" w:lineRule="auto"/>
        <w:ind w:left="5660" w:firstLine="70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left="5660" w:firstLine="70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left="5660" w:firstLine="70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до тендерної документації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sz w:val="26"/>
          <w:szCs w:val="26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  <w:rtl w:val="0"/>
        </w:rPr>
        <w:t xml:space="preserve">Перелік документів та/або інформації, які подаються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highlight w:val="white"/>
          <w:rtl w:val="0"/>
        </w:rPr>
        <w:t xml:space="preserve">Переможцем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  <w:rtl w:val="0"/>
        </w:rPr>
        <w:t xml:space="preserve"> процедури закупівлі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25.0" w:type="dxa"/>
        <w:jc w:val="left"/>
        <w:tblInd w:w="-2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20"/>
        <w:gridCol w:w="4605"/>
        <w:gridCol w:w="4800"/>
        <w:tblGridChange w:id="0">
          <w:tblGrid>
            <w:gridCol w:w="720"/>
            <w:gridCol w:w="4605"/>
            <w:gridCol w:w="4800"/>
          </w:tblGrid>
        </w:tblGridChange>
      </w:tblGrid>
      <w:tr>
        <w:trPr>
          <w:cantSplit w:val="0"/>
          <w:trHeight w:val="600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І.  Перелік документів для підтвердження відповідності Переможця вимогам, визначеним у пун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кті 47 Особливостей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ind w:left="10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ind w:left="10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з/п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ind w:left="10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Вимоги згідно з пунктом 47 Особливостей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ind w:lef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Переможець торгів на виконання вимоги згідно з пунктом 47 Особливостей (підтвердження відсутності підстав)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у строк, що не перевищує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u w:val="single"/>
                <w:rtl w:val="0"/>
              </w:rPr>
              <w:t xml:space="preserve">чотири дні з дати оприлюднення в електронній системі закупівель повідомлення про намір укласти договір про закупівлю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, повинен надати замовнику шляхом оприлюднення в електронній системі закупівель документи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3.37890625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ind w:left="100" w:firstLine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6">
            <w:pPr>
              <w:spacing w:after="120" w:before="120" w:line="259.20000000000005" w:lineRule="auto"/>
              <w:ind w:lef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Документи, які надаються  ПЕРЕМОЖЦЕМ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highlight w:val="white"/>
                <w:rtl w:val="0"/>
              </w:rPr>
              <w:t xml:space="preserve">(юридичною особою):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ind w:left="100"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1.1.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before="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  <w:rtl w:val="0"/>
              </w:rPr>
              <w:t xml:space="preserve">Керівник учасника процедури закупівлі був засуджений за кримінальне правопорушення, вчинене з корисливих мотивів (зокрема, пов’язане з хабарництвом, шахрайством та відмиванням коштів), судимість з якого не знято або не погашено в установленому законом порядку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(підпункт 6 пункту 47 Особливостей).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Повний витяг з інформаційно-аналітичної системи «Облік відомостей про притягнення особи до кримінальної відповідальності та наявності судимості» сформований у паперовій або електронній формі, що містить інформацію про відсутність судимості або обмежень, передбачених кримінальним процесуальним законодавством України щодо керівника учасника процедури закупівлі.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ind w:right="14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ind w:right="14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Документ повинен бути виданий /  сформований / отриманий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 поточному році.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ind w:left="10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1.2.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before="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  <w:rtl w:val="0"/>
              </w:rPr>
              <w:t xml:space="preserve">Керівника учасника процедури закупівлі, фізичну особу, яка є учасником процедури закупівлі, було притягнуто згідно із законом до відповідальності за вчинення правопорушення, пов’язаного з використанням дитячої праці чи будь-якими формами торгівлі людьми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(підпункт 12 пункту 47 Особливостей).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ind w:left="10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1">
            <w:pPr>
              <w:spacing w:after="120" w:before="120" w:lineRule="auto"/>
              <w:ind w:left="0" w:right="14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Документи, які надаються ПЕРЕМОЖЦЕМ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rtl w:val="0"/>
              </w:rPr>
              <w:t xml:space="preserve">фізичною особою чи фізичною особою — підприємцем):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ind w:left="10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2.1.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  <w:rtl w:val="0"/>
              </w:rPr>
              <w:t xml:space="preserve">Фізична особа, яка є учасником процедури закупівлі, була засуджена за кримінальне правопорушення, вчинене з корисливих мотивів (зокрема, пов’язане з хабарництвом та відмиванням коштів), судимість з якої не знято або не погашено в установленому законом порядку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(підпункт 5 пункту 47 Особливостей).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2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Повний витяг з інформаційно-аналітичної системи «Облік відомостей про притягнення особи до кримінальної відповідальності та наявності судимості» сформований у паперовій або електронній формі, що містить інформацію про відсутність судимості або обмежень, передбачених кримінальним процесуальним законодавством України щодо фізичної особи, яка є учасником процедури закупівлі.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ind w:right="140"/>
              <w:jc w:val="both"/>
              <w:rPr>
                <w:rFonts w:ascii="Times New Roman" w:cs="Times New Roman" w:eastAsia="Times New Roman" w:hAnsi="Times New Roman"/>
                <w:b w:val="1"/>
                <w:strike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Документ повинен бути виданий / сформований / отриманий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 поточному році.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ind w:left="10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2.2.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  <w:rtl w:val="0"/>
              </w:rPr>
              <w:t xml:space="preserve">Керівника учасника процедури закупівлі, фізичну особу, яка є учасником процедури закупівлі, було притягнуто згідно із законом до відповідальності за вчинення правопорушення, пов’язаного з використанням дитячої праці чи будь-якими формами торгівлі людьми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(підпункт 12 пункту 47 Особливостей).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B">
            <w:pPr>
              <w:ind w:left="100" w:firstLine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shd w:fill="d9d9d9" w:val="clear"/>
                <w:rtl w:val="0"/>
              </w:rPr>
              <w:t xml:space="preserve">ІІ. Перелік інших документів та/або інформації,  які подаються Переможцем.</w:t>
            </w:r>
          </w:p>
          <w:p w:rsidR="00000000" w:rsidDel="00000000" w:rsidP="00000000" w:rsidRDefault="00000000" w:rsidRPr="00000000" w14:paraId="00000030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6.953125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ind w:left="100" w:firstLine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4">
            <w:pPr>
              <w:ind w:right="12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Переможець процедури закупівлі під час укладення договору про закупівлю повинен надати відповідну інформацію про право підписання договору про закупівлю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highlight w:val="yellow"/>
                <w:rtl w:val="0"/>
              </w:rPr>
              <w:t xml:space="preserve">(наказ/ довіреність/ тощо)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ind w:left="100" w:firstLine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7">
            <w:pPr>
              <w:widowControl w:val="0"/>
              <w:ind w:right="12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highlight w:val="white"/>
                <w:rtl w:val="0"/>
              </w:rPr>
              <w:t xml:space="preserve">Забезпечення виконання договору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highlight w:val="yellow"/>
                <w:rtl w:val="0"/>
              </w:rPr>
              <w:t xml:space="preserve">(оригінал банківської гарантії)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highlight w:val="white"/>
                <w:rtl w:val="0"/>
              </w:rPr>
              <w:t xml:space="preserve">— відповідно до пункту 5 розділу 6 тендерної документації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ff0000"/>
                <w:sz w:val="24"/>
                <w:szCs w:val="24"/>
                <w:highlight w:val="yellow"/>
                <w:rtl w:val="0"/>
              </w:rPr>
              <w:t xml:space="preserve">(зазначається, якщо вимагається в ТД)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highlight w:val="whit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widowControl w:val="0"/>
        <w:spacing w:after="0" w:line="240" w:lineRule="auto"/>
        <w:ind w:right="120"/>
        <w:jc w:val="both"/>
        <w:rPr>
          <w:highlight w:val="gre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spacing w:after="0" w:line="240" w:lineRule="auto"/>
        <w:ind w:right="120"/>
        <w:jc w:val="both"/>
        <w:rPr>
          <w:highlight w:val="green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50" w:top="425.1968503937008" w:left="1417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EB1CB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 w:val="1"/>
    <w:unhideWhenUsed w:val="1"/>
    <w:rsid w:val="00986389"/>
    <w:rPr>
      <w:sz w:val="16"/>
      <w:szCs w:val="16"/>
    </w:rPr>
  </w:style>
  <w:style w:type="paragraph" w:styleId="a5">
    <w:name w:val="annotation text"/>
    <w:basedOn w:val="a"/>
    <w:link w:val="a6"/>
    <w:uiPriority w:val="99"/>
    <w:semiHidden w:val="1"/>
    <w:unhideWhenUsed w:val="1"/>
    <w:rsid w:val="00986389"/>
    <w:pPr>
      <w:spacing w:line="240" w:lineRule="auto"/>
    </w:pPr>
    <w:rPr>
      <w:sz w:val="20"/>
      <w:szCs w:val="20"/>
    </w:rPr>
  </w:style>
  <w:style w:type="character" w:styleId="a6" w:customStyle="1">
    <w:name w:val="Текст примечания Знак"/>
    <w:basedOn w:val="a0"/>
    <w:link w:val="a5"/>
    <w:uiPriority w:val="99"/>
    <w:semiHidden w:val="1"/>
    <w:rsid w:val="00986389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 w:val="1"/>
    <w:unhideWhenUsed w:val="1"/>
    <w:rsid w:val="00986389"/>
    <w:rPr>
      <w:b w:val="1"/>
      <w:bCs w:val="1"/>
    </w:rPr>
  </w:style>
  <w:style w:type="character" w:styleId="a8" w:customStyle="1">
    <w:name w:val="Тема примечания Знак"/>
    <w:basedOn w:val="a6"/>
    <w:link w:val="a7"/>
    <w:uiPriority w:val="99"/>
    <w:semiHidden w:val="1"/>
    <w:rsid w:val="00986389"/>
    <w:rPr>
      <w:b w:val="1"/>
      <w:bCs w:val="1"/>
      <w:sz w:val="20"/>
      <w:szCs w:val="20"/>
    </w:rPr>
  </w:style>
  <w:style w:type="paragraph" w:styleId="a9">
    <w:name w:val="Balloon Text"/>
    <w:basedOn w:val="a"/>
    <w:link w:val="aa"/>
    <w:uiPriority w:val="99"/>
    <w:semiHidden w:val="1"/>
    <w:unhideWhenUsed w:val="1"/>
    <w:rsid w:val="00986389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986389"/>
    <w:rPr>
      <w:rFonts w:ascii="Segoe UI" w:cs="Segoe UI" w:hAnsi="Segoe UI"/>
      <w:sz w:val="18"/>
      <w:szCs w:val="18"/>
    </w:rPr>
  </w:style>
  <w:style w:type="table" w:styleId="ab">
    <w:name w:val="Table Grid"/>
    <w:basedOn w:val="a1"/>
    <w:uiPriority w:val="39"/>
    <w:rsid w:val="0098638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c">
    <w:name w:val="List Paragraph"/>
    <w:basedOn w:val="a"/>
    <w:uiPriority w:val="34"/>
    <w:qFormat w:val="1"/>
    <w:rsid w:val="00986389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KB+uSf6tEetskR4zPbfbXkDDSg==">CgMxLjAyCGguZ2pkZ3hzMghoLmdqZGd4czgAaiUKFHN1Z2dlc3QuOG13MzczdTduYmRjEg1IYW5uYSBEb3ZoYWlhaiUKFHN1Z2dlc3QuZHVmMGxxd2NrMm1mEg1IYW5uYSBEb3ZoYWlhaiUKFHN1Z2dlc3QuNWIzbm03OHdkYmFuEg1IYW5uYSBEb3ZoYWlhciExZkFxYlJNcUdJc29kRXdQY09QUzVmS1REY2VJTXZvUzM=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2024-07-10T08:28:00Z</dcterms:created>
  <dc:creator>User</dc:creator>
</cp:coreProperties>
</file>